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20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center"/>
        <w:textAlignment w:val="auto"/>
        <w:rPr>
          <w:rFonts w:hint="eastAsia" w:ascii="仿宋_GB2312" w:hAnsi="仿宋_GB2312" w:eastAsia="仿宋_GB2312" w:cs="仿宋_GB2312"/>
          <w:sz w:val="40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40"/>
          <w:szCs w:val="40"/>
          <w:lang w:eastAsia="zh-CN"/>
        </w:rPr>
        <w:t>安徽省省属企业工资分配信息披露表</w:t>
      </w:r>
    </w:p>
    <w:p w14:paraId="0D2C482C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7DE2F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按照《安徽省人民政府关于改革国有企业工资决定机制的实施意见》（皖政〔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）规定，现将本企业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2024年度工资分配信息披露如下：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0"/>
        <w:gridCol w:w="2130"/>
      </w:tblGrid>
      <w:tr w14:paraId="13FA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129" w:type="dxa"/>
            <w:vAlign w:val="center"/>
          </w:tcPr>
          <w:p w14:paraId="0C1E9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企业名称</w:t>
            </w:r>
          </w:p>
          <w:p w14:paraId="29DC8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（全称）</w:t>
            </w:r>
          </w:p>
        </w:tc>
        <w:tc>
          <w:tcPr>
            <w:tcW w:w="2129" w:type="dxa"/>
            <w:vAlign w:val="center"/>
          </w:tcPr>
          <w:p w14:paraId="342EB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职工工资总额</w:t>
            </w:r>
          </w:p>
          <w:p w14:paraId="34398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（万元）</w:t>
            </w:r>
          </w:p>
        </w:tc>
        <w:tc>
          <w:tcPr>
            <w:tcW w:w="2130" w:type="dxa"/>
            <w:vAlign w:val="center"/>
          </w:tcPr>
          <w:p w14:paraId="55B66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职工人数</w:t>
            </w:r>
          </w:p>
          <w:p w14:paraId="482E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（人）</w:t>
            </w:r>
          </w:p>
        </w:tc>
        <w:tc>
          <w:tcPr>
            <w:tcW w:w="2130" w:type="dxa"/>
            <w:vAlign w:val="center"/>
          </w:tcPr>
          <w:p w14:paraId="7DD3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职工年平均工资（万元）</w:t>
            </w:r>
          </w:p>
        </w:tc>
      </w:tr>
      <w:tr w14:paraId="202F8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2129" w:type="dxa"/>
            <w:vAlign w:val="center"/>
          </w:tcPr>
          <w:p w14:paraId="3B440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安徽叉车集团有限责任公司</w:t>
            </w:r>
          </w:p>
        </w:tc>
        <w:tc>
          <w:tcPr>
            <w:tcW w:w="2129" w:type="dxa"/>
            <w:shd w:val="clear"/>
            <w:vAlign w:val="center"/>
          </w:tcPr>
          <w:p w14:paraId="5F32E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 xml:space="preserve">167452 </w:t>
            </w:r>
          </w:p>
        </w:tc>
        <w:tc>
          <w:tcPr>
            <w:tcW w:w="2130" w:type="dxa"/>
            <w:vAlign w:val="center"/>
          </w:tcPr>
          <w:p w14:paraId="4428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11812</w:t>
            </w:r>
          </w:p>
        </w:tc>
        <w:tc>
          <w:tcPr>
            <w:tcW w:w="2130" w:type="dxa"/>
            <w:shd w:val="clear"/>
            <w:vAlign w:val="center"/>
          </w:tcPr>
          <w:p w14:paraId="1A3A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 xml:space="preserve">14.1764 </w:t>
            </w:r>
          </w:p>
        </w:tc>
      </w:tr>
    </w:tbl>
    <w:p w14:paraId="6576173C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2720C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备注：工资总额是指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在一个会计年度内直接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支付给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建立劳动关系的全部职工（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包括在岗和不在岗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劳动报酬总额，包括工资、奖金、津贴、补贴、加班加点工资、特殊情况下支付的工资等。</w:t>
      </w:r>
    </w:p>
    <w:p w14:paraId="0C9A5702"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4D4CD0E8"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3EF34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安徽叉车集团有限责任公司</w:t>
      </w:r>
    </w:p>
    <w:p w14:paraId="617AE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61389"/>
    <w:rsid w:val="026017E5"/>
    <w:rsid w:val="045A3333"/>
    <w:rsid w:val="0F5C7AC2"/>
    <w:rsid w:val="344D5EA1"/>
    <w:rsid w:val="3D8B67D9"/>
    <w:rsid w:val="49486C86"/>
    <w:rsid w:val="58C24B31"/>
    <w:rsid w:val="7BF4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等线" w:hAnsi="等线" w:eastAsia="等线" w:cs="Times New Roman"/>
      <w:kern w:val="0"/>
      <w:szCs w:val="22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2024-10-25T07:57:00Z</dcterms:created>
  <dc:creator>heli</dc:creator>
  <cp:lastModifiedBy>heli</cp:lastModifiedBy>
  <dcterms:modified xsi:type="dcterms:W3CDTF">2026-06-10T17:13:14Z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0F85AC21562B46979A1675A87A2B245C</vt:lpwstr>
  </property>
</Properties>
</file>